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CB1EE" w14:textId="77777777" w:rsidR="00DA4928" w:rsidRPr="00C17A12" w:rsidRDefault="008269E9">
      <w:pPr>
        <w:rPr>
          <w:rFonts w:asciiTheme="majorHAnsi" w:hAnsiTheme="majorHAnsi"/>
          <w:b/>
          <w:sz w:val="36"/>
          <w:szCs w:val="36"/>
        </w:rPr>
      </w:pPr>
      <w:bookmarkStart w:id="0" w:name="_GoBack"/>
      <w:bookmarkEnd w:id="0"/>
      <w:r w:rsidRPr="00C17A12">
        <w:rPr>
          <w:rFonts w:asciiTheme="majorHAnsi" w:hAnsiTheme="majorHAnsi"/>
          <w:b/>
          <w:sz w:val="36"/>
          <w:szCs w:val="36"/>
        </w:rPr>
        <w:t>Buikklachten</w:t>
      </w:r>
      <w:r w:rsidR="00C17A12">
        <w:rPr>
          <w:rFonts w:asciiTheme="majorHAnsi" w:hAnsiTheme="majorHAnsi"/>
          <w:b/>
          <w:sz w:val="36"/>
          <w:szCs w:val="36"/>
        </w:rPr>
        <w:t xml:space="preserve">, </w:t>
      </w:r>
      <w:r w:rsidR="002235F3">
        <w:rPr>
          <w:rFonts w:asciiTheme="majorHAnsi" w:hAnsiTheme="majorHAnsi"/>
          <w:b/>
          <w:sz w:val="36"/>
          <w:szCs w:val="36"/>
        </w:rPr>
        <w:t xml:space="preserve">…… </w:t>
      </w:r>
    </w:p>
    <w:p w14:paraId="14D2D593" w14:textId="77777777" w:rsidR="00E951F9" w:rsidRDefault="00E951F9">
      <w:pPr>
        <w:rPr>
          <w:rFonts w:asciiTheme="majorHAnsi" w:hAnsiTheme="majorHAnsi"/>
          <w:b/>
          <w:sz w:val="24"/>
          <w:szCs w:val="24"/>
        </w:rPr>
      </w:pPr>
    </w:p>
    <w:p w14:paraId="77582145" w14:textId="77777777" w:rsidR="008269E9" w:rsidRPr="00C17A12" w:rsidRDefault="008269E9">
      <w:pPr>
        <w:rPr>
          <w:rFonts w:asciiTheme="majorHAnsi" w:hAnsiTheme="majorHAnsi"/>
          <w:b/>
          <w:sz w:val="24"/>
          <w:szCs w:val="24"/>
        </w:rPr>
      </w:pPr>
      <w:r w:rsidRPr="00C17A12">
        <w:rPr>
          <w:rFonts w:asciiTheme="majorHAnsi" w:hAnsiTheme="majorHAnsi"/>
          <w:b/>
          <w:sz w:val="24"/>
          <w:szCs w:val="24"/>
        </w:rPr>
        <w:t>Inleiding</w:t>
      </w:r>
    </w:p>
    <w:p w14:paraId="0B014F1A" w14:textId="77777777" w:rsidR="008269E9" w:rsidRPr="00C17A12" w:rsidRDefault="008269E9" w:rsidP="008269E9">
      <w:pPr>
        <w:pStyle w:val="Normaalweb"/>
        <w:rPr>
          <w:rFonts w:asciiTheme="majorHAnsi" w:hAnsiTheme="majorHAnsi"/>
        </w:rPr>
      </w:pPr>
      <w:r w:rsidRPr="00C17A12">
        <w:rPr>
          <w:rFonts w:asciiTheme="majorHAnsi" w:hAnsiTheme="majorHAnsi"/>
        </w:rPr>
        <w:t xml:space="preserve">Buikpijn kan door verschillende aandoeningen worden veroorzaakt. Sommige zijn levensbedreigend, vooral bij risicogroepen. Een acuut myocardinfarct, aneurysma aorta en een acute doorbloedingsstoornis (ischemie) geven soms ook buikpijn. Minder ernstige klachten kunnen een zeer ernstige achtergrond hebben, zoals bij </w:t>
      </w:r>
      <w:proofErr w:type="spellStart"/>
      <w:r w:rsidRPr="00C17A12">
        <w:rPr>
          <w:rFonts w:asciiTheme="majorHAnsi" w:hAnsiTheme="majorHAnsi"/>
        </w:rPr>
        <w:t>zwangeren</w:t>
      </w:r>
      <w:proofErr w:type="spellEnd"/>
      <w:r w:rsidRPr="00C17A12">
        <w:rPr>
          <w:rFonts w:asciiTheme="majorHAnsi" w:hAnsiTheme="majorHAnsi"/>
        </w:rPr>
        <w:t xml:space="preserve"> met het HELLP-syndroom of een vermoedelijk EUG. Klachten van misselijkheid en braken komen veel voor bij buikpijnklachten. Wanneer ben je gealarmeerd en moet er direct actie ondernomen worden en bij welke symptomen kun je met een gerust hart (telefonisch)advies geven?  </w:t>
      </w:r>
    </w:p>
    <w:p w14:paraId="4C4455D0" w14:textId="77777777" w:rsidR="008269E9" w:rsidRPr="00C17A12" w:rsidRDefault="008269E9" w:rsidP="008269E9">
      <w:pPr>
        <w:pStyle w:val="Normaalweb"/>
        <w:rPr>
          <w:rFonts w:asciiTheme="majorHAnsi" w:hAnsiTheme="majorHAnsi"/>
        </w:rPr>
      </w:pPr>
      <w:r w:rsidRPr="00C17A12">
        <w:rPr>
          <w:rFonts w:asciiTheme="majorHAnsi" w:hAnsiTheme="majorHAnsi"/>
        </w:rPr>
        <w:t xml:space="preserve">Tijdens deze scholing wordt de pathofysiologie van </w:t>
      </w:r>
      <w:r w:rsidR="00A072A2">
        <w:rPr>
          <w:rFonts w:asciiTheme="majorHAnsi" w:hAnsiTheme="majorHAnsi"/>
        </w:rPr>
        <w:t>verscheidene oorzaken van buikpijn</w:t>
      </w:r>
      <w:r w:rsidRPr="00C17A12">
        <w:rPr>
          <w:rFonts w:asciiTheme="majorHAnsi" w:hAnsiTheme="majorHAnsi"/>
        </w:rPr>
        <w:t xml:space="preserve"> doorgenomen. </w:t>
      </w:r>
      <w:r w:rsidR="00A072A2">
        <w:rPr>
          <w:rFonts w:asciiTheme="majorHAnsi" w:hAnsiTheme="majorHAnsi"/>
        </w:rPr>
        <w:t>Er wordt stilgestaan bij d</w:t>
      </w:r>
      <w:r w:rsidRPr="00C17A12">
        <w:rPr>
          <w:rFonts w:asciiTheme="majorHAnsi" w:hAnsiTheme="majorHAnsi"/>
        </w:rPr>
        <w:t xml:space="preserve">e </w:t>
      </w:r>
      <w:r w:rsidR="00A072A2">
        <w:rPr>
          <w:rFonts w:asciiTheme="majorHAnsi" w:hAnsiTheme="majorHAnsi"/>
        </w:rPr>
        <w:t xml:space="preserve">mate van pijn en de </w:t>
      </w:r>
      <w:r w:rsidRPr="00C17A12">
        <w:rPr>
          <w:rFonts w:asciiTheme="majorHAnsi" w:hAnsiTheme="majorHAnsi"/>
        </w:rPr>
        <w:t xml:space="preserve">verschillende soorten van pijn. Wat is het verschil in triage bij buikpijn kind en bij buikpijn volwassene en welke essentiële vragen moeten gesteld zijn om tot een juiste urgentie en vervolgbeleid te komen? Welke (overbruggings-)adviezen en pijnstillingadvies kun je meegeven aan de beller bij laag urgente buikklachten? </w:t>
      </w:r>
    </w:p>
    <w:p w14:paraId="749CDD55" w14:textId="77777777" w:rsidR="008269E9" w:rsidRDefault="008269E9" w:rsidP="00A072A2">
      <w:pPr>
        <w:pStyle w:val="Normaalweb"/>
        <w:rPr>
          <w:rFonts w:asciiTheme="majorHAnsi" w:hAnsiTheme="majorHAnsi"/>
        </w:rPr>
      </w:pPr>
      <w:r w:rsidRPr="00C17A12">
        <w:rPr>
          <w:rFonts w:asciiTheme="majorHAnsi" w:hAnsiTheme="majorHAnsi"/>
        </w:rPr>
        <w:t xml:space="preserve">Aan de hand van casuïstiek worden diverse, aan de buik gerelateerde, aandoeningen doorgenomen.   </w:t>
      </w:r>
    </w:p>
    <w:p w14:paraId="40E3FEBD" w14:textId="77777777" w:rsidR="00A072A2" w:rsidRPr="00C17A12" w:rsidRDefault="00A072A2" w:rsidP="00A072A2">
      <w:pPr>
        <w:pStyle w:val="Normaalweb"/>
        <w:rPr>
          <w:rFonts w:asciiTheme="majorHAnsi" w:hAnsiTheme="majorHAnsi"/>
        </w:rPr>
      </w:pPr>
    </w:p>
    <w:p w14:paraId="05B0720E" w14:textId="77777777" w:rsidR="008269E9" w:rsidRPr="00A072A2" w:rsidRDefault="008269E9">
      <w:pPr>
        <w:rPr>
          <w:rFonts w:asciiTheme="majorHAnsi" w:hAnsiTheme="majorHAnsi"/>
          <w:b/>
          <w:sz w:val="24"/>
          <w:szCs w:val="24"/>
        </w:rPr>
      </w:pPr>
      <w:r w:rsidRPr="00A072A2">
        <w:rPr>
          <w:rFonts w:asciiTheme="majorHAnsi" w:hAnsiTheme="majorHAnsi"/>
          <w:b/>
          <w:sz w:val="24"/>
          <w:szCs w:val="24"/>
        </w:rPr>
        <w:t>Doelen</w:t>
      </w:r>
    </w:p>
    <w:p w14:paraId="5D142AF2" w14:textId="77777777" w:rsidR="008269E9" w:rsidRPr="00C17A12" w:rsidRDefault="008269E9" w:rsidP="008269E9">
      <w:pPr>
        <w:pStyle w:val="Lijstalinea"/>
        <w:numPr>
          <w:ilvl w:val="0"/>
          <w:numId w:val="1"/>
        </w:numPr>
        <w:rPr>
          <w:rFonts w:asciiTheme="majorHAnsi" w:hAnsiTheme="majorHAnsi"/>
          <w:sz w:val="24"/>
          <w:szCs w:val="24"/>
        </w:rPr>
      </w:pPr>
      <w:r w:rsidRPr="00C17A12">
        <w:rPr>
          <w:rFonts w:asciiTheme="majorHAnsi" w:hAnsiTheme="majorHAnsi"/>
          <w:sz w:val="24"/>
          <w:szCs w:val="24"/>
        </w:rPr>
        <w:t>Kennis opdoen van de pathofysiologie van buik</w:t>
      </w:r>
      <w:r w:rsidR="00A072A2">
        <w:rPr>
          <w:rFonts w:asciiTheme="majorHAnsi" w:hAnsiTheme="majorHAnsi"/>
          <w:sz w:val="24"/>
          <w:szCs w:val="24"/>
        </w:rPr>
        <w:t>klachten</w:t>
      </w:r>
    </w:p>
    <w:p w14:paraId="69C07807" w14:textId="77777777" w:rsidR="008269E9" w:rsidRPr="00C17A12" w:rsidRDefault="008269E9" w:rsidP="008269E9">
      <w:pPr>
        <w:pStyle w:val="Lijstalinea"/>
        <w:numPr>
          <w:ilvl w:val="0"/>
          <w:numId w:val="1"/>
        </w:numPr>
        <w:rPr>
          <w:rFonts w:asciiTheme="majorHAnsi" w:hAnsiTheme="majorHAnsi"/>
          <w:sz w:val="24"/>
          <w:szCs w:val="24"/>
        </w:rPr>
      </w:pPr>
      <w:r w:rsidRPr="00C17A12">
        <w:rPr>
          <w:rFonts w:asciiTheme="majorHAnsi" w:hAnsiTheme="majorHAnsi"/>
          <w:sz w:val="24"/>
          <w:szCs w:val="24"/>
        </w:rPr>
        <w:t xml:space="preserve">Kennis opdoen over de verschillende oorzaken </w:t>
      </w:r>
      <w:r w:rsidR="00A072A2">
        <w:rPr>
          <w:rFonts w:asciiTheme="majorHAnsi" w:hAnsiTheme="majorHAnsi"/>
          <w:sz w:val="24"/>
          <w:szCs w:val="24"/>
        </w:rPr>
        <w:t xml:space="preserve">en soorten </w:t>
      </w:r>
      <w:r w:rsidRPr="00C17A12">
        <w:rPr>
          <w:rFonts w:asciiTheme="majorHAnsi" w:hAnsiTheme="majorHAnsi"/>
          <w:sz w:val="24"/>
          <w:szCs w:val="24"/>
        </w:rPr>
        <w:t>van buik</w:t>
      </w:r>
      <w:r w:rsidR="00A072A2">
        <w:rPr>
          <w:rFonts w:asciiTheme="majorHAnsi" w:hAnsiTheme="majorHAnsi"/>
          <w:sz w:val="24"/>
          <w:szCs w:val="24"/>
        </w:rPr>
        <w:t>klachten</w:t>
      </w:r>
      <w:r w:rsidRPr="00C17A12">
        <w:rPr>
          <w:rFonts w:asciiTheme="majorHAnsi" w:hAnsiTheme="majorHAnsi"/>
          <w:sz w:val="24"/>
          <w:szCs w:val="24"/>
        </w:rPr>
        <w:t xml:space="preserve"> bij zowel volwassenen als kinderen</w:t>
      </w:r>
    </w:p>
    <w:p w14:paraId="17C996E3" w14:textId="77777777" w:rsidR="008269E9" w:rsidRPr="00C17A12" w:rsidRDefault="008269E9" w:rsidP="008269E9">
      <w:pPr>
        <w:pStyle w:val="Lijstalinea"/>
        <w:numPr>
          <w:ilvl w:val="0"/>
          <w:numId w:val="1"/>
        </w:numPr>
        <w:rPr>
          <w:rFonts w:asciiTheme="majorHAnsi" w:hAnsiTheme="majorHAnsi"/>
          <w:sz w:val="24"/>
          <w:szCs w:val="24"/>
        </w:rPr>
      </w:pPr>
      <w:r w:rsidRPr="00C17A12">
        <w:rPr>
          <w:rFonts w:asciiTheme="majorHAnsi" w:hAnsiTheme="majorHAnsi"/>
          <w:sz w:val="24"/>
          <w:szCs w:val="24"/>
        </w:rPr>
        <w:t>Kennis opdoen over de differentiaal diagnostiek van buik</w:t>
      </w:r>
      <w:r w:rsidR="00A072A2">
        <w:rPr>
          <w:rFonts w:asciiTheme="majorHAnsi" w:hAnsiTheme="majorHAnsi"/>
          <w:sz w:val="24"/>
          <w:szCs w:val="24"/>
        </w:rPr>
        <w:t>klachten</w:t>
      </w:r>
      <w:r w:rsidRPr="00C17A12">
        <w:rPr>
          <w:rFonts w:asciiTheme="majorHAnsi" w:hAnsiTheme="majorHAnsi"/>
          <w:sz w:val="24"/>
          <w:szCs w:val="24"/>
        </w:rPr>
        <w:t>, urgentie denken, behandeling en follow-up bij de verschillende oorzaken van buikpijn</w:t>
      </w:r>
    </w:p>
    <w:p w14:paraId="2BAE3CFC" w14:textId="77777777" w:rsidR="008269E9" w:rsidRPr="00C17A12" w:rsidRDefault="008269E9" w:rsidP="008269E9">
      <w:pPr>
        <w:pStyle w:val="Lijstalinea"/>
        <w:numPr>
          <w:ilvl w:val="0"/>
          <w:numId w:val="1"/>
        </w:numPr>
        <w:rPr>
          <w:rFonts w:asciiTheme="majorHAnsi" w:hAnsiTheme="majorHAnsi"/>
          <w:sz w:val="24"/>
          <w:szCs w:val="24"/>
        </w:rPr>
      </w:pPr>
      <w:r w:rsidRPr="00C17A12">
        <w:rPr>
          <w:rFonts w:asciiTheme="majorHAnsi" w:hAnsiTheme="majorHAnsi"/>
          <w:sz w:val="24"/>
          <w:szCs w:val="24"/>
        </w:rPr>
        <w:lastRenderedPageBreak/>
        <w:t>Casuïstiek bespreken waarin moeilijkheden worden ervaren in de triage</w:t>
      </w:r>
    </w:p>
    <w:p w14:paraId="56666411" w14:textId="77777777" w:rsidR="008269E9" w:rsidRPr="00C17A12" w:rsidRDefault="008269E9" w:rsidP="008269E9">
      <w:pPr>
        <w:pStyle w:val="Lijstalinea"/>
        <w:numPr>
          <w:ilvl w:val="0"/>
          <w:numId w:val="1"/>
        </w:numPr>
        <w:rPr>
          <w:rFonts w:asciiTheme="majorHAnsi" w:hAnsiTheme="majorHAnsi"/>
          <w:sz w:val="24"/>
          <w:szCs w:val="24"/>
        </w:rPr>
      </w:pPr>
      <w:r w:rsidRPr="00C17A12">
        <w:rPr>
          <w:rFonts w:asciiTheme="majorHAnsi" w:hAnsiTheme="majorHAnsi"/>
          <w:sz w:val="24"/>
          <w:szCs w:val="24"/>
        </w:rPr>
        <w:t xml:space="preserve">Bewustzijn van </w:t>
      </w:r>
      <w:r w:rsidR="00C17A12" w:rsidRPr="00C17A12">
        <w:rPr>
          <w:rFonts w:asciiTheme="majorHAnsi" w:hAnsiTheme="majorHAnsi"/>
          <w:sz w:val="24"/>
          <w:szCs w:val="24"/>
        </w:rPr>
        <w:t>eigen grenzen</w:t>
      </w:r>
      <w:r w:rsidR="00A072A2">
        <w:rPr>
          <w:rFonts w:asciiTheme="majorHAnsi" w:hAnsiTheme="majorHAnsi"/>
          <w:sz w:val="24"/>
          <w:szCs w:val="24"/>
        </w:rPr>
        <w:t xml:space="preserve"> in het handelen; wanneer kan er advies gegeven worden en wanneer dient een patiënt beoordeeld te worden</w:t>
      </w:r>
    </w:p>
    <w:p w14:paraId="3119B5D2" w14:textId="77777777" w:rsidR="008269E9" w:rsidRDefault="008269E9">
      <w:pPr>
        <w:rPr>
          <w:rFonts w:asciiTheme="majorHAnsi" w:hAnsiTheme="majorHAnsi"/>
          <w:sz w:val="24"/>
          <w:szCs w:val="24"/>
        </w:rPr>
      </w:pPr>
    </w:p>
    <w:p w14:paraId="4261045E" w14:textId="77777777" w:rsidR="00A072A2" w:rsidRDefault="00A072A2">
      <w:pPr>
        <w:rPr>
          <w:rFonts w:asciiTheme="majorHAnsi" w:hAnsiTheme="majorHAnsi"/>
          <w:sz w:val="24"/>
          <w:szCs w:val="24"/>
        </w:rPr>
      </w:pPr>
    </w:p>
    <w:p w14:paraId="1EF16424" w14:textId="77777777" w:rsidR="00A072A2" w:rsidRDefault="00A072A2">
      <w:pPr>
        <w:rPr>
          <w:rFonts w:asciiTheme="majorHAnsi" w:hAnsiTheme="majorHAnsi"/>
          <w:sz w:val="24"/>
          <w:szCs w:val="24"/>
        </w:rPr>
      </w:pPr>
    </w:p>
    <w:p w14:paraId="2D9B7253" w14:textId="77777777" w:rsidR="00A072A2" w:rsidRDefault="00A072A2">
      <w:pPr>
        <w:rPr>
          <w:rFonts w:asciiTheme="majorHAnsi" w:hAnsiTheme="majorHAnsi"/>
          <w:sz w:val="24"/>
          <w:szCs w:val="24"/>
        </w:rPr>
      </w:pPr>
    </w:p>
    <w:p w14:paraId="3F7DAB4D" w14:textId="77777777" w:rsidR="00A072A2" w:rsidRDefault="00A072A2">
      <w:pPr>
        <w:rPr>
          <w:rFonts w:asciiTheme="majorHAnsi" w:hAnsiTheme="majorHAnsi"/>
          <w:sz w:val="24"/>
          <w:szCs w:val="24"/>
        </w:rPr>
      </w:pPr>
    </w:p>
    <w:p w14:paraId="532177F2" w14:textId="77777777" w:rsidR="00A072A2" w:rsidRPr="00C17A12" w:rsidRDefault="00A072A2">
      <w:pPr>
        <w:rPr>
          <w:rFonts w:asciiTheme="majorHAnsi" w:hAnsiTheme="majorHAnsi"/>
          <w:sz w:val="24"/>
          <w:szCs w:val="24"/>
        </w:rPr>
      </w:pPr>
    </w:p>
    <w:p w14:paraId="460369FD" w14:textId="77777777" w:rsidR="008269E9" w:rsidRPr="00A072A2" w:rsidRDefault="008269E9">
      <w:pPr>
        <w:rPr>
          <w:rFonts w:asciiTheme="majorHAnsi" w:hAnsiTheme="majorHAnsi"/>
          <w:b/>
          <w:sz w:val="24"/>
          <w:szCs w:val="24"/>
        </w:rPr>
      </w:pPr>
      <w:r w:rsidRPr="00A072A2">
        <w:rPr>
          <w:rFonts w:asciiTheme="majorHAnsi" w:hAnsiTheme="majorHAnsi"/>
          <w:b/>
          <w:sz w:val="24"/>
          <w:szCs w:val="24"/>
        </w:rPr>
        <w:t>Activiteitenschema</w:t>
      </w:r>
    </w:p>
    <w:p w14:paraId="0C05D80B" w14:textId="77777777" w:rsidR="008269E9" w:rsidRPr="00C17A12" w:rsidRDefault="008269E9">
      <w:pPr>
        <w:rPr>
          <w:rFonts w:asciiTheme="majorHAnsi" w:hAnsiTheme="majorHAnsi"/>
          <w:sz w:val="24"/>
          <w:szCs w:val="24"/>
        </w:rPr>
      </w:pPr>
    </w:p>
    <w:tbl>
      <w:tblPr>
        <w:tblStyle w:val="Tabelraster"/>
        <w:tblW w:w="0" w:type="auto"/>
        <w:tblLook w:val="04A0" w:firstRow="1" w:lastRow="0" w:firstColumn="1" w:lastColumn="0" w:noHBand="0" w:noVBand="1"/>
      </w:tblPr>
      <w:tblGrid>
        <w:gridCol w:w="2576"/>
        <w:gridCol w:w="2118"/>
        <w:gridCol w:w="2170"/>
        <w:gridCol w:w="2198"/>
      </w:tblGrid>
      <w:tr w:rsidR="008269E9" w:rsidRPr="00C17A12" w14:paraId="3730067D" w14:textId="77777777" w:rsidTr="008269E9">
        <w:tc>
          <w:tcPr>
            <w:tcW w:w="2303" w:type="dxa"/>
          </w:tcPr>
          <w:p w14:paraId="573DDC43" w14:textId="77777777" w:rsidR="008269E9" w:rsidRPr="00C17A12" w:rsidRDefault="008269E9">
            <w:pPr>
              <w:rPr>
                <w:rFonts w:asciiTheme="majorHAnsi" w:hAnsiTheme="majorHAnsi"/>
                <w:sz w:val="24"/>
                <w:szCs w:val="24"/>
              </w:rPr>
            </w:pPr>
          </w:p>
        </w:tc>
        <w:tc>
          <w:tcPr>
            <w:tcW w:w="2303" w:type="dxa"/>
          </w:tcPr>
          <w:p w14:paraId="7B37CE01" w14:textId="77777777" w:rsidR="008269E9" w:rsidRPr="00E951F9" w:rsidRDefault="008269E9">
            <w:pPr>
              <w:rPr>
                <w:rFonts w:asciiTheme="majorHAnsi" w:hAnsiTheme="majorHAnsi"/>
                <w:b/>
                <w:sz w:val="24"/>
                <w:szCs w:val="24"/>
              </w:rPr>
            </w:pPr>
            <w:r w:rsidRPr="00E951F9">
              <w:rPr>
                <w:rFonts w:asciiTheme="majorHAnsi" w:hAnsiTheme="majorHAnsi"/>
                <w:b/>
                <w:sz w:val="24"/>
                <w:szCs w:val="24"/>
              </w:rPr>
              <w:t>Tijd</w:t>
            </w:r>
          </w:p>
        </w:tc>
        <w:tc>
          <w:tcPr>
            <w:tcW w:w="2303" w:type="dxa"/>
          </w:tcPr>
          <w:p w14:paraId="26E6EA23" w14:textId="77777777" w:rsidR="008269E9" w:rsidRPr="00E951F9" w:rsidRDefault="008269E9">
            <w:pPr>
              <w:rPr>
                <w:rFonts w:asciiTheme="majorHAnsi" w:hAnsiTheme="majorHAnsi"/>
                <w:b/>
                <w:sz w:val="24"/>
                <w:szCs w:val="24"/>
              </w:rPr>
            </w:pPr>
            <w:r w:rsidRPr="00E951F9">
              <w:rPr>
                <w:rFonts w:asciiTheme="majorHAnsi" w:hAnsiTheme="majorHAnsi"/>
                <w:b/>
                <w:sz w:val="24"/>
                <w:szCs w:val="24"/>
              </w:rPr>
              <w:t>Praktijk</w:t>
            </w:r>
          </w:p>
        </w:tc>
        <w:tc>
          <w:tcPr>
            <w:tcW w:w="2303" w:type="dxa"/>
          </w:tcPr>
          <w:p w14:paraId="03B0F83E" w14:textId="77777777" w:rsidR="008269E9" w:rsidRPr="00E951F9" w:rsidRDefault="008269E9">
            <w:pPr>
              <w:rPr>
                <w:rFonts w:asciiTheme="majorHAnsi" w:hAnsiTheme="majorHAnsi"/>
                <w:b/>
                <w:sz w:val="24"/>
                <w:szCs w:val="24"/>
              </w:rPr>
            </w:pPr>
            <w:r w:rsidRPr="00E951F9">
              <w:rPr>
                <w:rFonts w:asciiTheme="majorHAnsi" w:hAnsiTheme="majorHAnsi"/>
                <w:b/>
                <w:sz w:val="24"/>
                <w:szCs w:val="24"/>
              </w:rPr>
              <w:t>Workshop</w:t>
            </w:r>
          </w:p>
        </w:tc>
      </w:tr>
      <w:tr w:rsidR="008269E9" w:rsidRPr="00C17A12" w14:paraId="2E58395F" w14:textId="77777777" w:rsidTr="00E951F9">
        <w:tc>
          <w:tcPr>
            <w:tcW w:w="2303" w:type="dxa"/>
            <w:shd w:val="clear" w:color="auto" w:fill="D9D9D9" w:themeFill="background1" w:themeFillShade="D9"/>
          </w:tcPr>
          <w:p w14:paraId="4875CA71" w14:textId="77777777" w:rsidR="008269E9" w:rsidRPr="00C17A12" w:rsidRDefault="008269E9" w:rsidP="008269E9">
            <w:pPr>
              <w:pStyle w:val="Normaalweb"/>
              <w:rPr>
                <w:rFonts w:asciiTheme="majorHAnsi" w:hAnsiTheme="majorHAnsi"/>
                <w:b/>
              </w:rPr>
            </w:pPr>
            <w:r w:rsidRPr="00C17A12">
              <w:rPr>
                <w:rFonts w:asciiTheme="majorHAnsi" w:hAnsiTheme="majorHAnsi"/>
                <w:b/>
              </w:rPr>
              <w:t>Voorbereiding</w:t>
            </w:r>
          </w:p>
        </w:tc>
        <w:tc>
          <w:tcPr>
            <w:tcW w:w="2303" w:type="dxa"/>
            <w:shd w:val="clear" w:color="auto" w:fill="D9D9D9" w:themeFill="background1" w:themeFillShade="D9"/>
          </w:tcPr>
          <w:p w14:paraId="69E43381" w14:textId="77777777" w:rsidR="008269E9" w:rsidRPr="00C17A12" w:rsidRDefault="008269E9">
            <w:pPr>
              <w:rPr>
                <w:rFonts w:asciiTheme="majorHAnsi" w:hAnsiTheme="majorHAnsi"/>
                <w:sz w:val="24"/>
                <w:szCs w:val="24"/>
              </w:rPr>
            </w:pPr>
          </w:p>
        </w:tc>
        <w:tc>
          <w:tcPr>
            <w:tcW w:w="2303" w:type="dxa"/>
            <w:shd w:val="clear" w:color="auto" w:fill="D9D9D9" w:themeFill="background1" w:themeFillShade="D9"/>
          </w:tcPr>
          <w:p w14:paraId="7298CFA0" w14:textId="77777777" w:rsidR="008269E9" w:rsidRPr="00C17A12" w:rsidRDefault="008269E9" w:rsidP="008269E9">
            <w:pPr>
              <w:rPr>
                <w:rFonts w:asciiTheme="majorHAnsi" w:hAnsiTheme="majorHAnsi"/>
                <w:sz w:val="24"/>
                <w:szCs w:val="24"/>
              </w:rPr>
            </w:pPr>
            <w:r w:rsidRPr="00C17A12">
              <w:rPr>
                <w:rFonts w:asciiTheme="majorHAnsi" w:hAnsiTheme="majorHAnsi"/>
                <w:sz w:val="24"/>
                <w:szCs w:val="24"/>
              </w:rPr>
              <w:t xml:space="preserve">    </w:t>
            </w:r>
          </w:p>
        </w:tc>
        <w:tc>
          <w:tcPr>
            <w:tcW w:w="2303" w:type="dxa"/>
            <w:shd w:val="clear" w:color="auto" w:fill="D9D9D9" w:themeFill="background1" w:themeFillShade="D9"/>
          </w:tcPr>
          <w:p w14:paraId="6B621F50" w14:textId="77777777" w:rsidR="008269E9" w:rsidRPr="00C17A12" w:rsidRDefault="008269E9">
            <w:pPr>
              <w:rPr>
                <w:rFonts w:asciiTheme="majorHAnsi" w:hAnsiTheme="majorHAnsi"/>
                <w:sz w:val="24"/>
                <w:szCs w:val="24"/>
              </w:rPr>
            </w:pPr>
          </w:p>
        </w:tc>
      </w:tr>
      <w:tr w:rsidR="008269E9" w:rsidRPr="00C17A12" w14:paraId="085A2FF0" w14:textId="77777777" w:rsidTr="008269E9">
        <w:tc>
          <w:tcPr>
            <w:tcW w:w="2303" w:type="dxa"/>
          </w:tcPr>
          <w:p w14:paraId="099DCE5A" w14:textId="77777777" w:rsidR="008269E9" w:rsidRPr="00C17A12" w:rsidRDefault="008269E9">
            <w:pPr>
              <w:rPr>
                <w:rFonts w:asciiTheme="majorHAnsi" w:hAnsiTheme="majorHAnsi"/>
                <w:sz w:val="24"/>
                <w:szCs w:val="24"/>
              </w:rPr>
            </w:pPr>
            <w:r w:rsidRPr="00C17A12">
              <w:rPr>
                <w:rFonts w:asciiTheme="majorHAnsi" w:hAnsiTheme="majorHAnsi"/>
                <w:sz w:val="24"/>
                <w:szCs w:val="24"/>
              </w:rPr>
              <w:t>Lees ter voorbereiding de ingangsklachten onder het hoofdstuk buik/ urogenitaal door van de NHG Triagewijzer en de bijbehorende adviezen eventueel ondersteund door thuisarts.nl. En breng een interessante casus, gerelateerd aan buikklachten, mee</w:t>
            </w:r>
            <w:r w:rsidR="00A072A2">
              <w:rPr>
                <w:rFonts w:asciiTheme="majorHAnsi" w:hAnsiTheme="majorHAnsi"/>
                <w:sz w:val="24"/>
                <w:szCs w:val="24"/>
              </w:rPr>
              <w:t>.</w:t>
            </w:r>
          </w:p>
        </w:tc>
        <w:tc>
          <w:tcPr>
            <w:tcW w:w="2303" w:type="dxa"/>
          </w:tcPr>
          <w:p w14:paraId="06020833" w14:textId="77777777" w:rsidR="008269E9" w:rsidRPr="00C17A12" w:rsidRDefault="008269E9">
            <w:pPr>
              <w:rPr>
                <w:rFonts w:asciiTheme="majorHAnsi" w:hAnsiTheme="majorHAnsi"/>
                <w:sz w:val="24"/>
                <w:szCs w:val="24"/>
              </w:rPr>
            </w:pPr>
            <w:r w:rsidRPr="00C17A12">
              <w:rPr>
                <w:rFonts w:asciiTheme="majorHAnsi" w:hAnsiTheme="majorHAnsi"/>
                <w:sz w:val="24"/>
                <w:szCs w:val="24"/>
              </w:rPr>
              <w:t>30 min</w:t>
            </w:r>
          </w:p>
        </w:tc>
        <w:tc>
          <w:tcPr>
            <w:tcW w:w="2303" w:type="dxa"/>
          </w:tcPr>
          <w:p w14:paraId="1701342B" w14:textId="77777777" w:rsidR="008269E9" w:rsidRPr="00C17A12" w:rsidRDefault="008269E9">
            <w:pPr>
              <w:rPr>
                <w:rFonts w:asciiTheme="majorHAnsi" w:hAnsiTheme="majorHAnsi"/>
                <w:sz w:val="24"/>
                <w:szCs w:val="24"/>
              </w:rPr>
            </w:pPr>
            <w:r w:rsidRPr="00C17A12">
              <w:rPr>
                <w:rFonts w:asciiTheme="majorHAnsi" w:hAnsiTheme="majorHAnsi"/>
                <w:sz w:val="24"/>
                <w:szCs w:val="24"/>
              </w:rPr>
              <w:t>X</w:t>
            </w:r>
          </w:p>
        </w:tc>
        <w:tc>
          <w:tcPr>
            <w:tcW w:w="2303" w:type="dxa"/>
          </w:tcPr>
          <w:p w14:paraId="243B0C78" w14:textId="77777777" w:rsidR="008269E9" w:rsidRPr="00C17A12" w:rsidRDefault="008269E9">
            <w:pPr>
              <w:rPr>
                <w:rFonts w:asciiTheme="majorHAnsi" w:hAnsiTheme="majorHAnsi"/>
                <w:sz w:val="24"/>
                <w:szCs w:val="24"/>
              </w:rPr>
            </w:pPr>
          </w:p>
        </w:tc>
      </w:tr>
      <w:tr w:rsidR="008269E9" w:rsidRPr="00C17A12" w14:paraId="759E02A2" w14:textId="77777777" w:rsidTr="00E951F9">
        <w:tc>
          <w:tcPr>
            <w:tcW w:w="2303" w:type="dxa"/>
            <w:shd w:val="clear" w:color="auto" w:fill="D9D9D9" w:themeFill="background1" w:themeFillShade="D9"/>
          </w:tcPr>
          <w:p w14:paraId="06EDC396" w14:textId="77777777" w:rsidR="008269E9" w:rsidRPr="00C17A12" w:rsidRDefault="008269E9">
            <w:pPr>
              <w:rPr>
                <w:rFonts w:asciiTheme="majorHAnsi" w:hAnsiTheme="majorHAnsi"/>
                <w:b/>
                <w:sz w:val="24"/>
                <w:szCs w:val="24"/>
              </w:rPr>
            </w:pPr>
            <w:r w:rsidRPr="00C17A12">
              <w:rPr>
                <w:rFonts w:asciiTheme="majorHAnsi" w:hAnsiTheme="majorHAnsi"/>
                <w:b/>
                <w:sz w:val="24"/>
                <w:szCs w:val="24"/>
              </w:rPr>
              <w:t>Workshop</w:t>
            </w:r>
          </w:p>
        </w:tc>
        <w:tc>
          <w:tcPr>
            <w:tcW w:w="2303" w:type="dxa"/>
            <w:shd w:val="clear" w:color="auto" w:fill="D9D9D9" w:themeFill="background1" w:themeFillShade="D9"/>
          </w:tcPr>
          <w:p w14:paraId="6A750A36" w14:textId="77777777" w:rsidR="008269E9" w:rsidRPr="00C17A12" w:rsidRDefault="008269E9">
            <w:pPr>
              <w:rPr>
                <w:rFonts w:asciiTheme="majorHAnsi" w:hAnsiTheme="majorHAnsi"/>
                <w:sz w:val="24"/>
                <w:szCs w:val="24"/>
              </w:rPr>
            </w:pPr>
          </w:p>
        </w:tc>
        <w:tc>
          <w:tcPr>
            <w:tcW w:w="2303" w:type="dxa"/>
            <w:shd w:val="clear" w:color="auto" w:fill="D9D9D9" w:themeFill="background1" w:themeFillShade="D9"/>
          </w:tcPr>
          <w:p w14:paraId="2715A6B7" w14:textId="77777777" w:rsidR="008269E9" w:rsidRPr="00C17A12" w:rsidRDefault="008269E9">
            <w:pPr>
              <w:rPr>
                <w:rFonts w:asciiTheme="majorHAnsi" w:hAnsiTheme="majorHAnsi"/>
                <w:sz w:val="24"/>
                <w:szCs w:val="24"/>
              </w:rPr>
            </w:pPr>
          </w:p>
        </w:tc>
        <w:tc>
          <w:tcPr>
            <w:tcW w:w="2303" w:type="dxa"/>
            <w:shd w:val="clear" w:color="auto" w:fill="D9D9D9" w:themeFill="background1" w:themeFillShade="D9"/>
          </w:tcPr>
          <w:p w14:paraId="04A97FF1" w14:textId="77777777" w:rsidR="008269E9" w:rsidRPr="00C17A12" w:rsidRDefault="008269E9">
            <w:pPr>
              <w:rPr>
                <w:rFonts w:asciiTheme="majorHAnsi" w:hAnsiTheme="majorHAnsi"/>
                <w:sz w:val="24"/>
                <w:szCs w:val="24"/>
              </w:rPr>
            </w:pPr>
          </w:p>
        </w:tc>
      </w:tr>
      <w:tr w:rsidR="008269E9" w:rsidRPr="00C17A12" w14:paraId="0CBF4A73" w14:textId="77777777" w:rsidTr="008269E9">
        <w:tc>
          <w:tcPr>
            <w:tcW w:w="2303" w:type="dxa"/>
          </w:tcPr>
          <w:p w14:paraId="49D808FF" w14:textId="77777777" w:rsidR="008269E9" w:rsidRPr="00C17A12" w:rsidRDefault="008269E9">
            <w:pPr>
              <w:rPr>
                <w:rFonts w:asciiTheme="majorHAnsi" w:hAnsiTheme="majorHAnsi"/>
                <w:sz w:val="24"/>
                <w:szCs w:val="24"/>
              </w:rPr>
            </w:pPr>
            <w:r w:rsidRPr="00C17A12">
              <w:rPr>
                <w:rFonts w:asciiTheme="majorHAnsi" w:hAnsiTheme="majorHAnsi"/>
                <w:sz w:val="24"/>
                <w:szCs w:val="24"/>
              </w:rPr>
              <w:t xml:space="preserve">Inventariseren vragen en </w:t>
            </w:r>
            <w:r w:rsidR="00A072A2" w:rsidRPr="00C17A12">
              <w:rPr>
                <w:rFonts w:asciiTheme="majorHAnsi" w:hAnsiTheme="majorHAnsi"/>
                <w:sz w:val="24"/>
                <w:szCs w:val="24"/>
              </w:rPr>
              <w:t>casuïstiek</w:t>
            </w:r>
          </w:p>
        </w:tc>
        <w:tc>
          <w:tcPr>
            <w:tcW w:w="2303" w:type="dxa"/>
          </w:tcPr>
          <w:p w14:paraId="7FDDFA1F" w14:textId="77777777" w:rsidR="008269E9" w:rsidRPr="00C17A12" w:rsidRDefault="008269E9">
            <w:pPr>
              <w:rPr>
                <w:rFonts w:asciiTheme="majorHAnsi" w:hAnsiTheme="majorHAnsi"/>
                <w:sz w:val="24"/>
                <w:szCs w:val="24"/>
              </w:rPr>
            </w:pPr>
            <w:r w:rsidRPr="00C17A12">
              <w:rPr>
                <w:rFonts w:asciiTheme="majorHAnsi" w:hAnsiTheme="majorHAnsi"/>
                <w:sz w:val="24"/>
                <w:szCs w:val="24"/>
              </w:rPr>
              <w:t>15 min</w:t>
            </w:r>
          </w:p>
        </w:tc>
        <w:tc>
          <w:tcPr>
            <w:tcW w:w="2303" w:type="dxa"/>
          </w:tcPr>
          <w:p w14:paraId="01D16F27" w14:textId="77777777" w:rsidR="008269E9" w:rsidRPr="00C17A12" w:rsidRDefault="008269E9">
            <w:pPr>
              <w:rPr>
                <w:rFonts w:asciiTheme="majorHAnsi" w:hAnsiTheme="majorHAnsi"/>
                <w:sz w:val="24"/>
                <w:szCs w:val="24"/>
              </w:rPr>
            </w:pPr>
          </w:p>
        </w:tc>
        <w:tc>
          <w:tcPr>
            <w:tcW w:w="2303" w:type="dxa"/>
          </w:tcPr>
          <w:p w14:paraId="5AA1D042" w14:textId="77777777" w:rsidR="008269E9" w:rsidRPr="00C17A12" w:rsidRDefault="008269E9">
            <w:pPr>
              <w:rPr>
                <w:rFonts w:asciiTheme="majorHAnsi" w:hAnsiTheme="majorHAnsi"/>
                <w:sz w:val="24"/>
                <w:szCs w:val="24"/>
              </w:rPr>
            </w:pPr>
          </w:p>
        </w:tc>
      </w:tr>
      <w:tr w:rsidR="008269E9" w:rsidRPr="00C17A12" w14:paraId="5592FEFC" w14:textId="77777777" w:rsidTr="008269E9">
        <w:tc>
          <w:tcPr>
            <w:tcW w:w="2303" w:type="dxa"/>
          </w:tcPr>
          <w:p w14:paraId="2197D96C" w14:textId="77777777" w:rsidR="008269E9" w:rsidRPr="00C17A12" w:rsidRDefault="00C17A12">
            <w:pPr>
              <w:rPr>
                <w:rFonts w:asciiTheme="majorHAnsi" w:hAnsiTheme="majorHAnsi"/>
                <w:sz w:val="24"/>
                <w:szCs w:val="24"/>
              </w:rPr>
            </w:pPr>
            <w:r w:rsidRPr="00C17A12">
              <w:rPr>
                <w:rFonts w:asciiTheme="majorHAnsi" w:hAnsiTheme="majorHAnsi"/>
                <w:sz w:val="24"/>
                <w:szCs w:val="24"/>
              </w:rPr>
              <w:t xml:space="preserve">Aan de hand van een interactieve </w:t>
            </w:r>
            <w:proofErr w:type="spellStart"/>
            <w:r w:rsidRPr="00C17A12">
              <w:rPr>
                <w:rFonts w:asciiTheme="majorHAnsi" w:hAnsiTheme="majorHAnsi"/>
                <w:sz w:val="24"/>
                <w:szCs w:val="24"/>
              </w:rPr>
              <w:t>powerpoint</w:t>
            </w:r>
            <w:proofErr w:type="spellEnd"/>
            <w:r w:rsidRPr="00C17A12">
              <w:rPr>
                <w:rFonts w:asciiTheme="majorHAnsi" w:hAnsiTheme="majorHAnsi"/>
                <w:sz w:val="24"/>
                <w:szCs w:val="24"/>
              </w:rPr>
              <w:t xml:space="preserve"> komen </w:t>
            </w:r>
            <w:r w:rsidRPr="00C17A12">
              <w:rPr>
                <w:rFonts w:asciiTheme="majorHAnsi" w:hAnsiTheme="majorHAnsi"/>
                <w:sz w:val="24"/>
                <w:szCs w:val="24"/>
              </w:rPr>
              <w:lastRenderedPageBreak/>
              <w:t>triage van patiënten/differentiaal diagnostiek, beloop van verschillende oorzaken van buikpijn aan bod</w:t>
            </w:r>
          </w:p>
        </w:tc>
        <w:tc>
          <w:tcPr>
            <w:tcW w:w="2303" w:type="dxa"/>
          </w:tcPr>
          <w:p w14:paraId="597CCE30" w14:textId="77777777" w:rsidR="008269E9" w:rsidRPr="00C17A12" w:rsidRDefault="00C17A12">
            <w:pPr>
              <w:rPr>
                <w:rFonts w:asciiTheme="majorHAnsi" w:hAnsiTheme="majorHAnsi"/>
                <w:sz w:val="24"/>
                <w:szCs w:val="24"/>
              </w:rPr>
            </w:pPr>
            <w:r w:rsidRPr="00C17A12">
              <w:rPr>
                <w:rFonts w:asciiTheme="majorHAnsi" w:hAnsiTheme="majorHAnsi"/>
                <w:sz w:val="24"/>
                <w:szCs w:val="24"/>
              </w:rPr>
              <w:lastRenderedPageBreak/>
              <w:t>90 min</w:t>
            </w:r>
          </w:p>
        </w:tc>
        <w:tc>
          <w:tcPr>
            <w:tcW w:w="2303" w:type="dxa"/>
          </w:tcPr>
          <w:p w14:paraId="23FEEBFE" w14:textId="77777777" w:rsidR="008269E9" w:rsidRPr="00C17A12" w:rsidRDefault="008269E9">
            <w:pPr>
              <w:rPr>
                <w:rFonts w:asciiTheme="majorHAnsi" w:hAnsiTheme="majorHAnsi"/>
                <w:sz w:val="24"/>
                <w:szCs w:val="24"/>
              </w:rPr>
            </w:pPr>
          </w:p>
        </w:tc>
        <w:tc>
          <w:tcPr>
            <w:tcW w:w="2303" w:type="dxa"/>
          </w:tcPr>
          <w:p w14:paraId="05B03FFA" w14:textId="77777777" w:rsidR="008269E9" w:rsidRPr="00C17A12" w:rsidRDefault="008269E9">
            <w:pPr>
              <w:rPr>
                <w:rFonts w:asciiTheme="majorHAnsi" w:hAnsiTheme="majorHAnsi"/>
                <w:sz w:val="24"/>
                <w:szCs w:val="24"/>
              </w:rPr>
            </w:pPr>
          </w:p>
        </w:tc>
      </w:tr>
      <w:tr w:rsidR="00C17A12" w:rsidRPr="00C17A12" w14:paraId="6911A19B" w14:textId="77777777" w:rsidTr="008269E9">
        <w:tc>
          <w:tcPr>
            <w:tcW w:w="2303" w:type="dxa"/>
          </w:tcPr>
          <w:p w14:paraId="034CE6FD" w14:textId="77777777" w:rsidR="00C17A12" w:rsidRPr="00C17A12" w:rsidRDefault="00C17A12">
            <w:pPr>
              <w:rPr>
                <w:rFonts w:asciiTheme="majorHAnsi" w:hAnsiTheme="majorHAnsi"/>
                <w:sz w:val="24"/>
                <w:szCs w:val="24"/>
              </w:rPr>
            </w:pPr>
            <w:r w:rsidRPr="00C17A12">
              <w:rPr>
                <w:rFonts w:asciiTheme="majorHAnsi" w:hAnsiTheme="majorHAnsi"/>
                <w:sz w:val="24"/>
                <w:szCs w:val="24"/>
              </w:rPr>
              <w:t>Resterende vragen en discussie</w:t>
            </w:r>
          </w:p>
        </w:tc>
        <w:tc>
          <w:tcPr>
            <w:tcW w:w="2303" w:type="dxa"/>
          </w:tcPr>
          <w:p w14:paraId="3846186E" w14:textId="77777777" w:rsidR="00C17A12" w:rsidRPr="00C17A12" w:rsidRDefault="00C17A12">
            <w:pPr>
              <w:rPr>
                <w:rFonts w:asciiTheme="majorHAnsi" w:hAnsiTheme="majorHAnsi"/>
                <w:sz w:val="24"/>
                <w:szCs w:val="24"/>
              </w:rPr>
            </w:pPr>
            <w:r w:rsidRPr="00C17A12">
              <w:rPr>
                <w:rFonts w:asciiTheme="majorHAnsi" w:hAnsiTheme="majorHAnsi"/>
                <w:sz w:val="24"/>
                <w:szCs w:val="24"/>
              </w:rPr>
              <w:t>15 min</w:t>
            </w:r>
          </w:p>
        </w:tc>
        <w:tc>
          <w:tcPr>
            <w:tcW w:w="2303" w:type="dxa"/>
          </w:tcPr>
          <w:p w14:paraId="7424075B" w14:textId="77777777" w:rsidR="00C17A12" w:rsidRPr="00C17A12" w:rsidRDefault="00C17A12">
            <w:pPr>
              <w:rPr>
                <w:rFonts w:asciiTheme="majorHAnsi" w:hAnsiTheme="majorHAnsi"/>
                <w:sz w:val="24"/>
                <w:szCs w:val="24"/>
              </w:rPr>
            </w:pPr>
          </w:p>
        </w:tc>
        <w:tc>
          <w:tcPr>
            <w:tcW w:w="2303" w:type="dxa"/>
          </w:tcPr>
          <w:p w14:paraId="253B2545" w14:textId="77777777" w:rsidR="00C17A12" w:rsidRPr="00C17A12" w:rsidRDefault="00C17A12">
            <w:pPr>
              <w:rPr>
                <w:rFonts w:asciiTheme="majorHAnsi" w:hAnsiTheme="majorHAnsi"/>
                <w:sz w:val="24"/>
                <w:szCs w:val="24"/>
              </w:rPr>
            </w:pPr>
          </w:p>
        </w:tc>
      </w:tr>
    </w:tbl>
    <w:p w14:paraId="64719378" w14:textId="77777777" w:rsidR="008269E9" w:rsidRPr="00C17A12" w:rsidRDefault="008269E9">
      <w:pPr>
        <w:rPr>
          <w:rFonts w:asciiTheme="majorHAnsi" w:hAnsiTheme="majorHAnsi"/>
          <w:sz w:val="24"/>
          <w:szCs w:val="24"/>
        </w:rPr>
      </w:pPr>
    </w:p>
    <w:p w14:paraId="74334C77" w14:textId="77777777" w:rsidR="008269E9" w:rsidRPr="00E951F9" w:rsidRDefault="008269E9">
      <w:pPr>
        <w:rPr>
          <w:rFonts w:asciiTheme="majorHAnsi" w:hAnsiTheme="majorHAnsi"/>
          <w:b/>
          <w:sz w:val="24"/>
          <w:szCs w:val="24"/>
        </w:rPr>
      </w:pPr>
      <w:r w:rsidRPr="00E951F9">
        <w:rPr>
          <w:rFonts w:asciiTheme="majorHAnsi" w:hAnsiTheme="majorHAnsi"/>
          <w:b/>
          <w:sz w:val="24"/>
          <w:szCs w:val="24"/>
        </w:rPr>
        <w:t>Programma</w:t>
      </w:r>
    </w:p>
    <w:p w14:paraId="6F096451" w14:textId="77777777" w:rsidR="00C17A12" w:rsidRPr="00C17A12" w:rsidRDefault="00C17A12">
      <w:pPr>
        <w:rPr>
          <w:rFonts w:asciiTheme="majorHAnsi" w:hAnsiTheme="majorHAnsi"/>
          <w:sz w:val="24"/>
          <w:szCs w:val="24"/>
        </w:rPr>
      </w:pPr>
      <w:r w:rsidRPr="00C17A12">
        <w:rPr>
          <w:rFonts w:asciiTheme="majorHAnsi" w:hAnsiTheme="majorHAnsi"/>
          <w:sz w:val="24"/>
          <w:szCs w:val="24"/>
        </w:rPr>
        <w:t>In deze scholing leer je de kenmerken van verschillende oorzaken en soorten van buik</w:t>
      </w:r>
      <w:r w:rsidR="00E951F9">
        <w:rPr>
          <w:rFonts w:asciiTheme="majorHAnsi" w:hAnsiTheme="majorHAnsi"/>
          <w:sz w:val="24"/>
          <w:szCs w:val="24"/>
        </w:rPr>
        <w:t>klachten</w:t>
      </w:r>
      <w:r w:rsidRPr="00C17A12">
        <w:rPr>
          <w:rFonts w:asciiTheme="majorHAnsi" w:hAnsiTheme="majorHAnsi"/>
          <w:sz w:val="24"/>
          <w:szCs w:val="24"/>
        </w:rPr>
        <w:t xml:space="preserve"> te herkennen en een adequate triage te voeren</w:t>
      </w:r>
      <w:r w:rsidR="00E951F9">
        <w:rPr>
          <w:rFonts w:asciiTheme="majorHAnsi" w:hAnsiTheme="majorHAnsi"/>
          <w:sz w:val="24"/>
          <w:szCs w:val="24"/>
        </w:rPr>
        <w:t>.</w:t>
      </w:r>
    </w:p>
    <w:p w14:paraId="565A77A1" w14:textId="77777777" w:rsidR="00C17A12" w:rsidRPr="00C17A12" w:rsidRDefault="00C17A12">
      <w:pPr>
        <w:rPr>
          <w:rFonts w:asciiTheme="majorHAnsi" w:hAnsiTheme="majorHAnsi"/>
          <w:sz w:val="24"/>
          <w:szCs w:val="24"/>
        </w:rPr>
      </w:pPr>
      <w:r w:rsidRPr="00C17A12">
        <w:rPr>
          <w:rFonts w:asciiTheme="majorHAnsi" w:hAnsiTheme="majorHAnsi"/>
          <w:sz w:val="24"/>
          <w:szCs w:val="24"/>
        </w:rPr>
        <w:t>De docent neemt je mee in:</w:t>
      </w:r>
    </w:p>
    <w:p w14:paraId="67AC2D3C" w14:textId="77777777" w:rsidR="00C17A12" w:rsidRPr="00C17A12" w:rsidRDefault="00C17A12" w:rsidP="00C17A12">
      <w:pPr>
        <w:pStyle w:val="Lijstalinea"/>
        <w:numPr>
          <w:ilvl w:val="0"/>
          <w:numId w:val="3"/>
        </w:numPr>
        <w:rPr>
          <w:rFonts w:asciiTheme="majorHAnsi" w:hAnsiTheme="majorHAnsi"/>
          <w:sz w:val="24"/>
          <w:szCs w:val="24"/>
        </w:rPr>
      </w:pPr>
      <w:r w:rsidRPr="00C17A12">
        <w:rPr>
          <w:rFonts w:asciiTheme="majorHAnsi" w:hAnsiTheme="majorHAnsi"/>
          <w:sz w:val="24"/>
          <w:szCs w:val="24"/>
        </w:rPr>
        <w:t>De anatomie en pathofysiologie van buikpijn</w:t>
      </w:r>
    </w:p>
    <w:p w14:paraId="53503727" w14:textId="77777777" w:rsidR="00C17A12" w:rsidRPr="00C17A12" w:rsidRDefault="00C17A12" w:rsidP="00C17A12">
      <w:pPr>
        <w:pStyle w:val="Lijstalinea"/>
        <w:numPr>
          <w:ilvl w:val="0"/>
          <w:numId w:val="3"/>
        </w:numPr>
        <w:rPr>
          <w:rFonts w:asciiTheme="majorHAnsi" w:hAnsiTheme="majorHAnsi"/>
          <w:sz w:val="24"/>
          <w:szCs w:val="24"/>
        </w:rPr>
      </w:pPr>
      <w:r w:rsidRPr="00C17A12">
        <w:rPr>
          <w:rFonts w:asciiTheme="majorHAnsi" w:hAnsiTheme="majorHAnsi"/>
          <w:sz w:val="24"/>
          <w:szCs w:val="24"/>
        </w:rPr>
        <w:t>De symptomen van de verschillende oorzaken van buikpijn</w:t>
      </w:r>
    </w:p>
    <w:p w14:paraId="4760C3A3" w14:textId="77777777" w:rsidR="00C17A12" w:rsidRPr="00C17A12" w:rsidRDefault="00C17A12" w:rsidP="00C17A12">
      <w:pPr>
        <w:pStyle w:val="Lijstalinea"/>
        <w:numPr>
          <w:ilvl w:val="0"/>
          <w:numId w:val="3"/>
        </w:numPr>
        <w:rPr>
          <w:rFonts w:asciiTheme="majorHAnsi" w:hAnsiTheme="majorHAnsi"/>
          <w:sz w:val="24"/>
          <w:szCs w:val="24"/>
        </w:rPr>
      </w:pPr>
      <w:r w:rsidRPr="00C17A12">
        <w:rPr>
          <w:rFonts w:asciiTheme="majorHAnsi" w:hAnsiTheme="majorHAnsi"/>
          <w:sz w:val="24"/>
          <w:szCs w:val="24"/>
        </w:rPr>
        <w:t xml:space="preserve">De alarmsymptomen bij buikklachten </w:t>
      </w:r>
    </w:p>
    <w:p w14:paraId="663E1057" w14:textId="77777777" w:rsidR="00C17A12" w:rsidRPr="00C17A12" w:rsidRDefault="00C17A12" w:rsidP="00C17A12">
      <w:pPr>
        <w:pStyle w:val="Lijstalinea"/>
        <w:numPr>
          <w:ilvl w:val="0"/>
          <w:numId w:val="3"/>
        </w:numPr>
        <w:rPr>
          <w:rFonts w:asciiTheme="majorHAnsi" w:hAnsiTheme="majorHAnsi"/>
          <w:sz w:val="24"/>
          <w:szCs w:val="24"/>
        </w:rPr>
      </w:pPr>
      <w:r w:rsidRPr="00C17A12">
        <w:rPr>
          <w:rFonts w:asciiTheme="majorHAnsi" w:hAnsiTheme="majorHAnsi"/>
          <w:sz w:val="24"/>
          <w:szCs w:val="24"/>
        </w:rPr>
        <w:t>Het differentiaal diagnostisch denken bij buikklachten</w:t>
      </w:r>
    </w:p>
    <w:p w14:paraId="7605C86C" w14:textId="77777777" w:rsidR="00C17A12" w:rsidRPr="00C17A12" w:rsidRDefault="00C17A12" w:rsidP="00C17A12">
      <w:pPr>
        <w:pStyle w:val="Lijstalinea"/>
        <w:numPr>
          <w:ilvl w:val="0"/>
          <w:numId w:val="3"/>
        </w:numPr>
        <w:rPr>
          <w:rFonts w:asciiTheme="majorHAnsi" w:hAnsiTheme="majorHAnsi"/>
          <w:sz w:val="24"/>
          <w:szCs w:val="24"/>
        </w:rPr>
      </w:pPr>
      <w:r w:rsidRPr="00C17A12">
        <w:rPr>
          <w:rFonts w:asciiTheme="majorHAnsi" w:hAnsiTheme="majorHAnsi"/>
          <w:sz w:val="24"/>
          <w:szCs w:val="24"/>
        </w:rPr>
        <w:t>Advies geven bij niet urgente buikklachten</w:t>
      </w:r>
    </w:p>
    <w:p w14:paraId="56E6C9E0" w14:textId="77777777" w:rsidR="00E951F9" w:rsidRDefault="00C17A12" w:rsidP="00E951F9">
      <w:pPr>
        <w:pStyle w:val="Lijstalinea"/>
        <w:numPr>
          <w:ilvl w:val="0"/>
          <w:numId w:val="2"/>
        </w:numPr>
        <w:rPr>
          <w:rFonts w:asciiTheme="majorHAnsi" w:hAnsiTheme="majorHAnsi"/>
          <w:sz w:val="24"/>
          <w:szCs w:val="24"/>
        </w:rPr>
      </w:pPr>
      <w:r w:rsidRPr="00C17A12">
        <w:rPr>
          <w:rFonts w:asciiTheme="majorHAnsi" w:hAnsiTheme="majorHAnsi"/>
          <w:sz w:val="24"/>
          <w:szCs w:val="24"/>
        </w:rPr>
        <w:t>Tijdens de bespreking wordt diverse casuïstiek ingebracht en besproken</w:t>
      </w:r>
    </w:p>
    <w:p w14:paraId="6EDB6CEA" w14:textId="77777777" w:rsidR="008269E9" w:rsidRDefault="008269E9" w:rsidP="00E951F9">
      <w:pPr>
        <w:ind w:left="360"/>
        <w:rPr>
          <w:rFonts w:asciiTheme="majorHAnsi" w:hAnsiTheme="majorHAnsi"/>
          <w:b/>
          <w:sz w:val="24"/>
          <w:szCs w:val="24"/>
        </w:rPr>
      </w:pPr>
      <w:r w:rsidRPr="00E951F9">
        <w:rPr>
          <w:rFonts w:asciiTheme="majorHAnsi" w:hAnsiTheme="majorHAnsi"/>
          <w:b/>
          <w:sz w:val="24"/>
          <w:szCs w:val="24"/>
        </w:rPr>
        <w:t>Literatuur</w:t>
      </w:r>
    </w:p>
    <w:p w14:paraId="72EE4557" w14:textId="77777777" w:rsidR="00E951F9" w:rsidRDefault="00E951F9" w:rsidP="00E951F9">
      <w:pPr>
        <w:ind w:left="360"/>
        <w:rPr>
          <w:rFonts w:asciiTheme="majorHAnsi" w:hAnsiTheme="majorHAnsi"/>
          <w:b/>
          <w:sz w:val="24"/>
          <w:szCs w:val="24"/>
        </w:rPr>
      </w:pPr>
      <w:r>
        <w:rPr>
          <w:rFonts w:asciiTheme="majorHAnsi" w:hAnsiTheme="majorHAnsi"/>
          <w:b/>
          <w:sz w:val="24"/>
          <w:szCs w:val="24"/>
        </w:rPr>
        <w:t>Bronnen uit de voorbereiding</w:t>
      </w:r>
    </w:p>
    <w:p w14:paraId="39E71005" w14:textId="77777777" w:rsidR="003B63B4" w:rsidRPr="003B63B4" w:rsidRDefault="003B63B4" w:rsidP="003B63B4">
      <w:pPr>
        <w:rPr>
          <w:rFonts w:asciiTheme="majorHAnsi" w:hAnsiTheme="majorHAnsi"/>
          <w:sz w:val="24"/>
          <w:szCs w:val="24"/>
        </w:rPr>
      </w:pPr>
      <w:r w:rsidRPr="003B63B4">
        <w:rPr>
          <w:rFonts w:asciiTheme="majorHAnsi" w:hAnsiTheme="majorHAnsi"/>
          <w:sz w:val="24"/>
          <w:szCs w:val="24"/>
        </w:rPr>
        <w:t>NHG-triagewijzer</w:t>
      </w:r>
    </w:p>
    <w:p w14:paraId="705E5B91" w14:textId="77777777" w:rsidR="003B63B4" w:rsidRPr="003B63B4" w:rsidRDefault="003B63B4" w:rsidP="003B63B4">
      <w:pPr>
        <w:rPr>
          <w:rFonts w:asciiTheme="majorHAnsi" w:hAnsiTheme="majorHAnsi"/>
          <w:sz w:val="24"/>
          <w:szCs w:val="24"/>
        </w:rPr>
      </w:pPr>
      <w:r w:rsidRPr="003B63B4">
        <w:rPr>
          <w:rFonts w:asciiTheme="majorHAnsi" w:hAnsiTheme="majorHAnsi"/>
          <w:sz w:val="24"/>
          <w:szCs w:val="24"/>
        </w:rPr>
        <w:t>NTS-triagesysteem</w:t>
      </w:r>
    </w:p>
    <w:p w14:paraId="6EEBBC04" w14:textId="77777777" w:rsidR="003B63B4" w:rsidRPr="003B63B4" w:rsidRDefault="003B63B4" w:rsidP="003B63B4">
      <w:pPr>
        <w:rPr>
          <w:rFonts w:asciiTheme="majorHAnsi" w:hAnsiTheme="majorHAnsi"/>
          <w:sz w:val="24"/>
          <w:szCs w:val="24"/>
        </w:rPr>
      </w:pPr>
      <w:r w:rsidRPr="003B63B4">
        <w:rPr>
          <w:rFonts w:asciiTheme="majorHAnsi" w:hAnsiTheme="majorHAnsi"/>
          <w:sz w:val="24"/>
          <w:szCs w:val="24"/>
        </w:rPr>
        <w:t>Heineman</w:t>
      </w:r>
    </w:p>
    <w:p w14:paraId="6498C67C" w14:textId="77777777" w:rsidR="003B63B4" w:rsidRPr="003B63B4" w:rsidRDefault="003B63B4" w:rsidP="003B63B4">
      <w:pPr>
        <w:rPr>
          <w:rFonts w:asciiTheme="majorHAnsi" w:hAnsiTheme="majorHAnsi"/>
          <w:sz w:val="24"/>
          <w:szCs w:val="24"/>
        </w:rPr>
      </w:pPr>
      <w:r w:rsidRPr="003B63B4">
        <w:rPr>
          <w:rFonts w:asciiTheme="majorHAnsi" w:hAnsiTheme="majorHAnsi"/>
          <w:sz w:val="24"/>
          <w:szCs w:val="24"/>
        </w:rPr>
        <w:t>Acute boekje</w:t>
      </w:r>
    </w:p>
    <w:p w14:paraId="54036594" w14:textId="77777777" w:rsidR="00E951F9" w:rsidRPr="00E951F9" w:rsidRDefault="00E951F9" w:rsidP="00E951F9">
      <w:pPr>
        <w:pStyle w:val="Lijstalinea"/>
        <w:numPr>
          <w:ilvl w:val="0"/>
          <w:numId w:val="2"/>
        </w:numPr>
        <w:rPr>
          <w:rFonts w:asciiTheme="majorHAnsi" w:hAnsiTheme="majorHAnsi"/>
          <w:sz w:val="24"/>
          <w:szCs w:val="24"/>
        </w:rPr>
      </w:pPr>
      <w:r w:rsidRPr="00E951F9">
        <w:rPr>
          <w:rFonts w:asciiTheme="majorHAnsi" w:hAnsiTheme="majorHAnsi"/>
          <w:sz w:val="24"/>
          <w:szCs w:val="24"/>
        </w:rPr>
        <w:t>NHG standaarden</w:t>
      </w:r>
    </w:p>
    <w:p w14:paraId="215CB323" w14:textId="77777777" w:rsidR="00E951F9" w:rsidRPr="00E951F9" w:rsidRDefault="00E951F9" w:rsidP="00E951F9">
      <w:pPr>
        <w:pStyle w:val="Lijstalinea"/>
        <w:numPr>
          <w:ilvl w:val="1"/>
          <w:numId w:val="2"/>
        </w:numPr>
        <w:rPr>
          <w:rFonts w:asciiTheme="majorHAnsi" w:hAnsiTheme="majorHAnsi"/>
          <w:sz w:val="24"/>
          <w:szCs w:val="24"/>
        </w:rPr>
      </w:pPr>
      <w:r w:rsidRPr="00E951F9">
        <w:rPr>
          <w:rFonts w:asciiTheme="majorHAnsi" w:hAnsiTheme="majorHAnsi"/>
          <w:sz w:val="24"/>
          <w:szCs w:val="24"/>
        </w:rPr>
        <w:lastRenderedPageBreak/>
        <w:t>Buikpijn bij kinderen</w:t>
      </w:r>
    </w:p>
    <w:p w14:paraId="7C510D6B" w14:textId="77777777" w:rsidR="00E951F9" w:rsidRPr="00E951F9" w:rsidRDefault="00E951F9" w:rsidP="00E951F9">
      <w:pPr>
        <w:pStyle w:val="Lijstalinea"/>
        <w:numPr>
          <w:ilvl w:val="1"/>
          <w:numId w:val="2"/>
        </w:numPr>
        <w:rPr>
          <w:rFonts w:asciiTheme="majorHAnsi" w:hAnsiTheme="majorHAnsi"/>
          <w:sz w:val="24"/>
          <w:szCs w:val="24"/>
        </w:rPr>
      </w:pPr>
      <w:r w:rsidRPr="00E951F9">
        <w:rPr>
          <w:rFonts w:asciiTheme="majorHAnsi" w:hAnsiTheme="majorHAnsi"/>
          <w:sz w:val="24"/>
          <w:szCs w:val="24"/>
        </w:rPr>
        <w:t xml:space="preserve">Zwangerschap en Kraamperiode </w:t>
      </w:r>
    </w:p>
    <w:p w14:paraId="4C7CBB8E" w14:textId="77777777" w:rsidR="00E951F9" w:rsidRDefault="00E951F9" w:rsidP="00E951F9">
      <w:pPr>
        <w:pStyle w:val="Lijstalinea"/>
        <w:numPr>
          <w:ilvl w:val="1"/>
          <w:numId w:val="2"/>
        </w:numPr>
        <w:rPr>
          <w:rFonts w:asciiTheme="majorHAnsi" w:hAnsiTheme="majorHAnsi"/>
          <w:sz w:val="24"/>
          <w:szCs w:val="24"/>
        </w:rPr>
      </w:pPr>
      <w:r w:rsidRPr="00E951F9">
        <w:rPr>
          <w:rFonts w:asciiTheme="majorHAnsi" w:hAnsiTheme="majorHAnsi"/>
          <w:sz w:val="24"/>
          <w:szCs w:val="24"/>
        </w:rPr>
        <w:t>Miskraam</w:t>
      </w:r>
    </w:p>
    <w:p w14:paraId="68340FD3" w14:textId="77777777" w:rsidR="0091659B" w:rsidRDefault="0091659B" w:rsidP="00E951F9">
      <w:pPr>
        <w:pStyle w:val="Lijstalinea"/>
        <w:numPr>
          <w:ilvl w:val="1"/>
          <w:numId w:val="2"/>
        </w:numPr>
        <w:rPr>
          <w:rFonts w:asciiTheme="majorHAnsi" w:hAnsiTheme="majorHAnsi"/>
          <w:sz w:val="24"/>
          <w:szCs w:val="24"/>
        </w:rPr>
      </w:pPr>
      <w:proofErr w:type="spellStart"/>
      <w:r>
        <w:rPr>
          <w:rFonts w:asciiTheme="majorHAnsi" w:hAnsiTheme="majorHAnsi"/>
          <w:sz w:val="24"/>
          <w:szCs w:val="24"/>
        </w:rPr>
        <w:t>Pelvic</w:t>
      </w:r>
      <w:proofErr w:type="spellEnd"/>
      <w:r>
        <w:rPr>
          <w:rFonts w:asciiTheme="majorHAnsi" w:hAnsiTheme="majorHAnsi"/>
          <w:sz w:val="24"/>
          <w:szCs w:val="24"/>
        </w:rPr>
        <w:t xml:space="preserve"> </w:t>
      </w:r>
      <w:proofErr w:type="spellStart"/>
      <w:r>
        <w:rPr>
          <w:rFonts w:asciiTheme="majorHAnsi" w:hAnsiTheme="majorHAnsi"/>
          <w:sz w:val="24"/>
          <w:szCs w:val="24"/>
        </w:rPr>
        <w:t>Inflammatory</w:t>
      </w:r>
      <w:proofErr w:type="spellEnd"/>
      <w:r>
        <w:rPr>
          <w:rFonts w:asciiTheme="majorHAnsi" w:hAnsiTheme="majorHAnsi"/>
          <w:sz w:val="24"/>
          <w:szCs w:val="24"/>
        </w:rPr>
        <w:t xml:space="preserve"> </w:t>
      </w:r>
      <w:proofErr w:type="spellStart"/>
      <w:r>
        <w:rPr>
          <w:rFonts w:asciiTheme="majorHAnsi" w:hAnsiTheme="majorHAnsi"/>
          <w:sz w:val="24"/>
          <w:szCs w:val="24"/>
        </w:rPr>
        <w:t>Disease</w:t>
      </w:r>
      <w:proofErr w:type="spellEnd"/>
    </w:p>
    <w:p w14:paraId="304FF84E" w14:textId="77777777" w:rsidR="00E951F9" w:rsidRDefault="00E951F9" w:rsidP="00E951F9">
      <w:pPr>
        <w:rPr>
          <w:rFonts w:asciiTheme="majorHAnsi" w:hAnsiTheme="majorHAnsi"/>
          <w:sz w:val="24"/>
          <w:szCs w:val="24"/>
        </w:rPr>
      </w:pPr>
    </w:p>
    <w:p w14:paraId="06F59C56" w14:textId="77777777" w:rsidR="00E951F9" w:rsidRPr="00E951F9" w:rsidRDefault="00E951F9" w:rsidP="00E951F9">
      <w:pPr>
        <w:ind w:left="720"/>
        <w:rPr>
          <w:rFonts w:asciiTheme="majorHAnsi" w:hAnsiTheme="majorHAnsi"/>
          <w:sz w:val="24"/>
          <w:szCs w:val="24"/>
        </w:rPr>
      </w:pPr>
    </w:p>
    <w:sectPr w:rsidR="00E951F9" w:rsidRPr="00E95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C58B3"/>
    <w:multiLevelType w:val="hybridMultilevel"/>
    <w:tmpl w:val="306ACB6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44623A9"/>
    <w:multiLevelType w:val="hybridMultilevel"/>
    <w:tmpl w:val="A3521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84418F"/>
    <w:multiLevelType w:val="hybridMultilevel"/>
    <w:tmpl w:val="13EA3C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1B6AA8"/>
    <w:multiLevelType w:val="hybridMultilevel"/>
    <w:tmpl w:val="0CF67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E9"/>
    <w:rsid w:val="002235F3"/>
    <w:rsid w:val="003B63B4"/>
    <w:rsid w:val="00765BE6"/>
    <w:rsid w:val="008269E9"/>
    <w:rsid w:val="0091659B"/>
    <w:rsid w:val="00A072A2"/>
    <w:rsid w:val="00C17A12"/>
    <w:rsid w:val="00DA4928"/>
    <w:rsid w:val="00E951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AD7BB"/>
  <w15:docId w15:val="{08BB6F09-1F3B-4CD4-BA51-21594483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269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269E9"/>
    <w:pPr>
      <w:ind w:left="720"/>
      <w:contextualSpacing/>
    </w:pPr>
  </w:style>
  <w:style w:type="table" w:styleId="Tabelraster">
    <w:name w:val="Table Grid"/>
    <w:basedOn w:val="Standaardtabel"/>
    <w:uiPriority w:val="59"/>
    <w:rsid w:val="00826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2536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Amarant Groep</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405480</dc:creator>
  <cp:lastModifiedBy>Hoogendoorn, F.</cp:lastModifiedBy>
  <cp:revision>2</cp:revision>
  <dcterms:created xsi:type="dcterms:W3CDTF">2019-03-19T08:24:00Z</dcterms:created>
  <dcterms:modified xsi:type="dcterms:W3CDTF">2019-03-19T08:24:00Z</dcterms:modified>
</cp:coreProperties>
</file>